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9B" w:rsidRPr="0026509E" w:rsidRDefault="00C6219B" w:rsidP="00C62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09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B2A7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639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6219B" w:rsidRPr="0026509E" w:rsidRDefault="00C6219B" w:rsidP="00C62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6509E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6509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C6219B" w:rsidRPr="0026509E" w:rsidRDefault="00C6219B" w:rsidP="00C6219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09E">
        <w:rPr>
          <w:rFonts w:ascii="Times New Roman" w:eastAsia="Times New Roman" w:hAnsi="Times New Roman" w:cs="Times New Roman"/>
          <w:sz w:val="24"/>
          <w:szCs w:val="24"/>
        </w:rPr>
        <w:t>Чесменского муниципального района</w:t>
      </w:r>
    </w:p>
    <w:p w:rsidR="00DB5F26" w:rsidRDefault="00DB5F26" w:rsidP="00DB5F26">
      <w:pPr>
        <w:ind w:right="-2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от«27»декабря 2016г. № 674</w:t>
      </w:r>
    </w:p>
    <w:p w:rsidR="00C6219B" w:rsidRDefault="00C6219B" w:rsidP="00C62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1118" w:rsidRDefault="00C6219B" w:rsidP="00C62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11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 w:rsidRPr="00D41118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</w:p>
    <w:p w:rsidR="00C6219B" w:rsidRDefault="00C6219B" w:rsidP="00C6219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19B" w:rsidRPr="0095311D" w:rsidRDefault="00C6219B" w:rsidP="00C6219B">
      <w:pPr>
        <w:spacing w:after="0"/>
        <w:ind w:left="5529" w:right="-1" w:hanging="5529"/>
        <w:rPr>
          <w:rFonts w:ascii="Times New Roman" w:hAnsi="Times New Roman" w:cs="Times New Roman"/>
          <w:color w:val="FF0000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D4111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411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Чесменского историко-краеведческого музея им. А.Н.Беликова</w:t>
      </w:r>
      <w:r w:rsidRPr="00D41118">
        <w:rPr>
          <w:rFonts w:ascii="Times New Roman" w:hAnsi="Times New Roman" w:cs="Times New Roman"/>
          <w:sz w:val="24"/>
          <w:szCs w:val="24"/>
        </w:rPr>
        <w:t xml:space="preserve"> 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>на 201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>7 - 2019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219B" w:rsidRDefault="00C6219B" w:rsidP="00D41118">
      <w:pPr>
        <w:spacing w:after="0"/>
      </w:pPr>
    </w:p>
    <w:p w:rsidR="00C6219B" w:rsidRPr="00D41118" w:rsidRDefault="00C6219B" w:rsidP="00C6219B">
      <w:pPr>
        <w:spacing w:after="0"/>
        <w:ind w:left="5529" w:right="-2" w:hanging="5529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 w:cs="Times New Roman"/>
          <w:b/>
          <w:sz w:val="24"/>
          <w:szCs w:val="24"/>
        </w:rPr>
        <w:t>подп</w:t>
      </w:r>
      <w:r w:rsidRPr="00D41118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111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>
        <w:rPr>
          <w:rFonts w:ascii="Times New Roman" w:hAnsi="Times New Roman" w:cs="Times New Roman"/>
          <w:sz w:val="24"/>
          <w:szCs w:val="24"/>
        </w:rPr>
        <w:t>Чесменский   Историко-краеведческий музей им. А.Н.Беликова</w:t>
      </w:r>
    </w:p>
    <w:p w:rsidR="00C6219B" w:rsidRDefault="00C6219B" w:rsidP="00D41118">
      <w:pPr>
        <w:spacing w:after="0"/>
      </w:pPr>
    </w:p>
    <w:p w:rsidR="00C6219B" w:rsidRDefault="00C6219B" w:rsidP="00C6219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Программно-целевые инструменты </w:t>
      </w:r>
    </w:p>
    <w:p w:rsidR="00C6219B" w:rsidRPr="00D41118" w:rsidRDefault="00C6219B" w:rsidP="00C6219B">
      <w:pPr>
        <w:spacing w:after="0"/>
        <w:ind w:left="5529" w:right="-1" w:hanging="5529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муниципальной подпрограммы: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41118">
        <w:rPr>
          <w:rFonts w:ascii="Times New Roman" w:hAnsi="Times New Roman" w:cs="Times New Roman"/>
          <w:sz w:val="24"/>
          <w:szCs w:val="24"/>
        </w:rPr>
        <w:t>Государственная программа Челябинской области «Развитие культуры и туризма в Челябинской области на 2015-2017 годы».</w:t>
      </w:r>
    </w:p>
    <w:p w:rsidR="00C6219B" w:rsidRPr="00D41118" w:rsidRDefault="00C6219B" w:rsidP="00C6219B">
      <w:pPr>
        <w:spacing w:after="0"/>
        <w:ind w:left="5529" w:right="-2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Подпрограмма «Сохранение и развитие  культурно-досуговой среды на 2015-2017 годы»</w:t>
      </w:r>
    </w:p>
    <w:p w:rsidR="00C6219B" w:rsidRDefault="00C6219B" w:rsidP="00D41118">
      <w:pPr>
        <w:spacing w:after="0"/>
      </w:pPr>
    </w:p>
    <w:p w:rsidR="00C6219B" w:rsidRDefault="00C6219B" w:rsidP="00C6219B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Основные цели муниципальной </w:t>
      </w:r>
    </w:p>
    <w:p w:rsidR="00C6219B" w:rsidRPr="00D41118" w:rsidRDefault="00C6219B" w:rsidP="00C6219B">
      <w:pPr>
        <w:spacing w:after="0"/>
        <w:ind w:left="5529" w:right="-2" w:hanging="5529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подпрограммы: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Обеспечение прав граждан Чесменского района  на доступ к культурным ценностям и участие в культурной жизни посредством обеспечения доступности для жителей музейных фондов</w:t>
      </w:r>
    </w:p>
    <w:p w:rsidR="00C6219B" w:rsidRDefault="00C6219B" w:rsidP="00C6219B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6219B" w:rsidRDefault="00C6219B" w:rsidP="00C6219B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Основные задачи муниципальной </w:t>
      </w:r>
    </w:p>
    <w:p w:rsidR="00C6219B" w:rsidRPr="00D41118" w:rsidRDefault="00C6219B" w:rsidP="00C6219B">
      <w:pPr>
        <w:spacing w:after="0"/>
        <w:ind w:left="5529" w:right="-2" w:hanging="5529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подпрограммы: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411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Расширение доступа граждан к  государственным музейным фондам (коллекциям)</w:t>
      </w:r>
      <w:r w:rsidRPr="00D41118">
        <w:rPr>
          <w:rFonts w:ascii="Times New Roman" w:hAnsi="Times New Roman" w:cs="Times New Roman"/>
          <w:sz w:val="24"/>
          <w:szCs w:val="24"/>
        </w:rPr>
        <w:t>;</w:t>
      </w:r>
    </w:p>
    <w:p w:rsidR="00C6219B" w:rsidRDefault="00476EC9" w:rsidP="00C6219B">
      <w:pPr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219B" w:rsidRPr="00D41118">
        <w:rPr>
          <w:rFonts w:ascii="Times New Roman" w:hAnsi="Times New Roman" w:cs="Times New Roman"/>
          <w:sz w:val="24"/>
          <w:szCs w:val="24"/>
        </w:rPr>
        <w:t xml:space="preserve">- </w:t>
      </w:r>
      <w:r w:rsidR="00C6219B">
        <w:rPr>
          <w:rFonts w:ascii="Times New Roman" w:hAnsi="Times New Roman" w:cs="Times New Roman"/>
          <w:sz w:val="24"/>
          <w:szCs w:val="24"/>
        </w:rPr>
        <w:t>Обеспечение сохранности музейных    ценностей, памятников истории и культуры</w:t>
      </w:r>
      <w:r w:rsidR="00C6219B" w:rsidRPr="00D41118">
        <w:rPr>
          <w:rFonts w:ascii="Times New Roman" w:hAnsi="Times New Roman" w:cs="Times New Roman"/>
          <w:sz w:val="24"/>
          <w:szCs w:val="24"/>
        </w:rPr>
        <w:t>;</w:t>
      </w:r>
    </w:p>
    <w:p w:rsidR="00C6219B" w:rsidRDefault="00C6219B" w:rsidP="00C6219B">
      <w:pPr>
        <w:spacing w:after="0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 Использование музейных фондов в научных,  культурных, образовательных и информационных целях;</w:t>
      </w:r>
    </w:p>
    <w:p w:rsidR="00C6219B" w:rsidRPr="00D41118" w:rsidRDefault="00C6219B" w:rsidP="00C62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 Обеспечение культурного обмена.</w:t>
      </w:r>
    </w:p>
    <w:p w:rsidR="00C6219B" w:rsidRDefault="00C6219B" w:rsidP="00D41118">
      <w:pPr>
        <w:spacing w:after="0"/>
      </w:pPr>
    </w:p>
    <w:p w:rsidR="00C6219B" w:rsidRDefault="00C6219B" w:rsidP="00C62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C6219B" w:rsidRDefault="00C6219B" w:rsidP="00C62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муниципальной подпрограммы: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выставок, экспозиций </w:t>
      </w:r>
    </w:p>
    <w:p w:rsidR="00C6219B" w:rsidRDefault="00C6219B" w:rsidP="00D41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D308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посетителей музея </w:t>
      </w:r>
    </w:p>
    <w:p w:rsidR="00DE6490" w:rsidRPr="00DE6490" w:rsidRDefault="00DE6490" w:rsidP="00D411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E6490">
        <w:rPr>
          <w:rFonts w:ascii="Times New Roman" w:hAnsi="Times New Roman" w:cs="Times New Roman"/>
          <w:color w:val="FF0000"/>
          <w:sz w:val="24"/>
          <w:szCs w:val="24"/>
        </w:rPr>
        <w:t xml:space="preserve">- % учреждений, проводивших   </w:t>
      </w:r>
    </w:p>
    <w:p w:rsidR="00DE6490" w:rsidRPr="00DE6490" w:rsidRDefault="00DE6490" w:rsidP="00D411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E649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противопожарные мероприятия</w:t>
      </w:r>
    </w:p>
    <w:p w:rsidR="00C6219B" w:rsidRDefault="00C6219B" w:rsidP="00D41118">
      <w:pPr>
        <w:spacing w:after="0"/>
      </w:pPr>
    </w:p>
    <w:p w:rsidR="00C6219B" w:rsidRPr="0095311D" w:rsidRDefault="00C6219B" w:rsidP="00C6219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>7- 2019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>два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этап</w:t>
      </w:r>
      <w:r w:rsidR="004B3BC5"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а, </w:t>
      </w:r>
    </w:p>
    <w:p w:rsidR="004B3BC5" w:rsidRPr="0095311D" w:rsidRDefault="004B3BC5" w:rsidP="00C6219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5311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I этап – 2017 год</w:t>
      </w:r>
    </w:p>
    <w:p w:rsidR="00C6219B" w:rsidRPr="0095311D" w:rsidRDefault="004B3BC5" w:rsidP="00D411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Pr="0095311D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Pr="0095311D">
        <w:rPr>
          <w:rFonts w:ascii="Times New Roman" w:hAnsi="Times New Roman" w:cs="Times New Roman"/>
          <w:color w:val="FF0000"/>
          <w:sz w:val="24"/>
          <w:szCs w:val="24"/>
        </w:rPr>
        <w:t xml:space="preserve"> этап – 2018-2019 годы</w:t>
      </w:r>
    </w:p>
    <w:p w:rsidR="006413EF" w:rsidRDefault="006413EF" w:rsidP="00D411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Объемы бюджетных ассигнований </w:t>
      </w:r>
    </w:p>
    <w:p w:rsidR="006413EF" w:rsidRPr="00CB65F4" w:rsidRDefault="006413EF" w:rsidP="006413EF">
      <w:pPr>
        <w:spacing w:after="0"/>
        <w:ind w:left="5529" w:hanging="5529"/>
        <w:rPr>
          <w:rFonts w:ascii="Times New Roman" w:hAnsi="Times New Roman" w:cs="Times New Roman"/>
          <w:color w:val="FF0000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D308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   составляет 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="0095311D">
        <w:rPr>
          <w:rFonts w:ascii="Times New Roman" w:hAnsi="Times New Roman" w:cs="Times New Roman"/>
          <w:color w:val="FF0000"/>
          <w:sz w:val="24"/>
          <w:szCs w:val="24"/>
        </w:rPr>
        <w:t>52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5311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r w:rsidR="004B3BC5" w:rsidRPr="00CB65F4">
        <w:rPr>
          <w:rFonts w:ascii="Times New Roman" w:hAnsi="Times New Roman" w:cs="Times New Roman"/>
          <w:color w:val="FF0000"/>
          <w:sz w:val="24"/>
          <w:szCs w:val="24"/>
        </w:rPr>
        <w:t>,  в том числе</w:t>
      </w:r>
    </w:p>
    <w:p w:rsidR="004B3BC5" w:rsidRPr="00CB65F4" w:rsidRDefault="004B3BC5" w:rsidP="006413EF">
      <w:pPr>
        <w:spacing w:after="0"/>
        <w:ind w:left="5529" w:hanging="5529"/>
        <w:rPr>
          <w:rFonts w:ascii="Times New Roman" w:hAnsi="Times New Roman" w:cs="Times New Roman"/>
          <w:color w:val="FF0000"/>
          <w:sz w:val="24"/>
          <w:szCs w:val="24"/>
        </w:rPr>
      </w:pPr>
      <w:r w:rsidRPr="00CB65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>2017 год</w:t>
      </w:r>
      <w:r w:rsidRPr="00CB65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 204</w:t>
      </w:r>
      <w:r w:rsidR="0095311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>,9 тыс.рублей</w:t>
      </w:r>
    </w:p>
    <w:p w:rsidR="004B3BC5" w:rsidRPr="00CB65F4" w:rsidRDefault="004B3BC5" w:rsidP="006413EF">
      <w:pPr>
        <w:spacing w:after="0"/>
        <w:ind w:left="5529" w:hanging="5529"/>
        <w:rPr>
          <w:rFonts w:ascii="Times New Roman" w:hAnsi="Times New Roman" w:cs="Times New Roman"/>
          <w:color w:val="FF0000"/>
          <w:sz w:val="24"/>
          <w:szCs w:val="24"/>
        </w:rPr>
      </w:pPr>
      <w:r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2018 год 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>1351,3 тыс.рублей</w:t>
      </w:r>
    </w:p>
    <w:p w:rsidR="00CB65F4" w:rsidRPr="00CB65F4" w:rsidRDefault="00CB65F4" w:rsidP="006413EF">
      <w:pPr>
        <w:spacing w:after="0"/>
        <w:ind w:left="5529" w:hanging="5529"/>
        <w:rPr>
          <w:rFonts w:ascii="Times New Roman" w:hAnsi="Times New Roman" w:cs="Times New Roman"/>
          <w:color w:val="FF0000"/>
          <w:sz w:val="24"/>
          <w:szCs w:val="24"/>
        </w:rPr>
      </w:pPr>
      <w:r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2019 год- 1351,3 тыс.рублей</w:t>
      </w:r>
    </w:p>
    <w:p w:rsidR="00AE2B81" w:rsidRDefault="00AE2B81" w:rsidP="00CB6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2B81" w:rsidRDefault="00AE2B81" w:rsidP="00AE2B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</w:t>
      </w:r>
    </w:p>
    <w:p w:rsidR="00AE2B81" w:rsidRDefault="00AE2B81" w:rsidP="00AE2B81">
      <w:pPr>
        <w:spacing w:after="0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D41118">
        <w:rPr>
          <w:rFonts w:ascii="Times New Roman" w:hAnsi="Times New Roman" w:cs="Times New Roman"/>
          <w:b/>
          <w:sz w:val="24"/>
          <w:szCs w:val="24"/>
        </w:rPr>
        <w:t>муниципальной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0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- Количество выст</w:t>
      </w:r>
      <w:r w:rsidR="00666843">
        <w:rPr>
          <w:rFonts w:ascii="Times New Roman" w:hAnsi="Times New Roman" w:cs="Times New Roman"/>
          <w:sz w:val="24"/>
          <w:szCs w:val="24"/>
        </w:rPr>
        <w:t xml:space="preserve">авок, экспозиций до </w:t>
      </w:r>
      <w:r w:rsidR="00666843" w:rsidRPr="00CB65F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B65F4" w:rsidRPr="00CB65F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66843">
        <w:rPr>
          <w:rFonts w:ascii="Times New Roman" w:hAnsi="Times New Roman" w:cs="Times New Roman"/>
          <w:sz w:val="24"/>
          <w:szCs w:val="24"/>
        </w:rPr>
        <w:t xml:space="preserve">единиц </w:t>
      </w:r>
      <w:r w:rsidR="00666843" w:rsidRPr="008D5FA3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8D5FA3" w:rsidRPr="008D5FA3">
        <w:rPr>
          <w:rFonts w:ascii="Times New Roman" w:hAnsi="Times New Roman" w:cs="Times New Roman"/>
          <w:color w:val="FF0000"/>
          <w:sz w:val="24"/>
          <w:szCs w:val="24"/>
        </w:rPr>
        <w:t>2017</w:t>
      </w:r>
      <w:r w:rsidRPr="008D5FA3">
        <w:rPr>
          <w:rFonts w:ascii="Times New Roman" w:hAnsi="Times New Roman" w:cs="Times New Roman"/>
          <w:color w:val="FF0000"/>
          <w:sz w:val="24"/>
          <w:szCs w:val="24"/>
        </w:rPr>
        <w:t>год</w:t>
      </w:r>
      <w:r w:rsidR="008D5FA3" w:rsidRPr="008D5FA3">
        <w:rPr>
          <w:rFonts w:ascii="Times New Roman" w:hAnsi="Times New Roman" w:cs="Times New Roman"/>
          <w:color w:val="FF0000"/>
          <w:sz w:val="24"/>
          <w:szCs w:val="24"/>
        </w:rPr>
        <w:t>у, 2018год – 17ед., 2019 год -20ед.</w:t>
      </w:r>
    </w:p>
    <w:p w:rsidR="00AE2B81" w:rsidRPr="00D41118" w:rsidRDefault="00CD3082" w:rsidP="00AE2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E2B81">
        <w:rPr>
          <w:rFonts w:ascii="Times New Roman" w:hAnsi="Times New Roman" w:cs="Times New Roman"/>
          <w:sz w:val="24"/>
          <w:szCs w:val="24"/>
        </w:rPr>
        <w:t>- Количество посетителей музея до 5,350 тыс.</w:t>
      </w:r>
    </w:p>
    <w:p w:rsidR="006413EF" w:rsidRDefault="00AE2B81" w:rsidP="00AE2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человек в год.</w:t>
      </w:r>
    </w:p>
    <w:p w:rsidR="00DE6490" w:rsidRPr="00DE6490" w:rsidRDefault="00DE6490" w:rsidP="00AE2B8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E6490">
        <w:rPr>
          <w:rFonts w:ascii="Times New Roman" w:hAnsi="Times New Roman" w:cs="Times New Roman"/>
          <w:color w:val="FF0000"/>
          <w:sz w:val="24"/>
          <w:szCs w:val="24"/>
        </w:rPr>
        <w:t xml:space="preserve">- % учреждений,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проводивших</w:t>
      </w:r>
      <w:r w:rsidRPr="00DE64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D5FA3" w:rsidRPr="00DE6490" w:rsidRDefault="00DE6490" w:rsidP="00AE2B8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E649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противо</w:t>
      </w:r>
      <w:r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Pr="00DE6490">
        <w:rPr>
          <w:rFonts w:ascii="Times New Roman" w:hAnsi="Times New Roman" w:cs="Times New Roman"/>
          <w:color w:val="FF0000"/>
          <w:sz w:val="24"/>
          <w:szCs w:val="24"/>
        </w:rPr>
        <w:t>жарные мероприятия -16,7%</w:t>
      </w:r>
    </w:p>
    <w:p w:rsidR="008D5FA3" w:rsidRDefault="008D5FA3" w:rsidP="00AE2B81">
      <w:pPr>
        <w:spacing w:after="0"/>
        <w:sectPr w:rsidR="008D5FA3" w:rsidSect="00C6219B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E2B81" w:rsidRDefault="00AE2B81" w:rsidP="00AE2B81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P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6219B" w:rsidRDefault="00C6219B" w:rsidP="00C6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C6D72" w:rsidRPr="00D41118" w:rsidRDefault="008C6D72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P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P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Default="00D41118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D706C" w:rsidRPr="00D41118" w:rsidRDefault="00BD706C" w:rsidP="00D41118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C6D72" w:rsidRPr="00D41118" w:rsidRDefault="008C6D72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C6D72" w:rsidRPr="00D41118" w:rsidRDefault="008C6D72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C6D72" w:rsidRPr="00D41118" w:rsidRDefault="008C6D72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41118" w:rsidRDefault="00D41118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C6D72" w:rsidRDefault="008C6D72" w:rsidP="00D4111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67179F" w:rsidRDefault="0067179F" w:rsidP="00D4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D72" w:rsidRPr="00D41118" w:rsidRDefault="008C6D72" w:rsidP="00D4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118" w:rsidRPr="00D41118" w:rsidRDefault="00D41118" w:rsidP="00D4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118" w:rsidRDefault="00D41118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C9" w:rsidRDefault="00476EC9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490" w:rsidRDefault="00DE6490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81" w:rsidRPr="00AD029D" w:rsidRDefault="00AE2B81" w:rsidP="00AD029D">
      <w:pPr>
        <w:spacing w:after="0"/>
        <w:rPr>
          <w:rFonts w:ascii="Times New Roman" w:hAnsi="Times New Roman" w:cs="Times New Roman"/>
          <w:sz w:val="24"/>
          <w:szCs w:val="24"/>
        </w:rPr>
        <w:sectPr w:rsidR="00AE2B81" w:rsidRPr="00AD029D" w:rsidSect="009E4123">
          <w:type w:val="continuous"/>
          <w:pgSz w:w="11906" w:h="16838"/>
          <w:pgMar w:top="567" w:right="424" w:bottom="567" w:left="993" w:header="708" w:footer="708" w:gutter="0"/>
          <w:cols w:num="2" w:space="709"/>
          <w:docGrid w:linePitch="360"/>
        </w:sectPr>
      </w:pPr>
    </w:p>
    <w:p w:rsidR="00BD706C" w:rsidRDefault="00BD706C" w:rsidP="00D41118">
      <w:pPr>
        <w:spacing w:after="0"/>
        <w:sectPr w:rsidR="00BD706C" w:rsidSect="00D4111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D706C" w:rsidRPr="00C643EC" w:rsidRDefault="004E5A08" w:rsidP="004E5A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 ее решения подпрограммными методами</w:t>
      </w:r>
    </w:p>
    <w:p w:rsidR="00C643EC" w:rsidRDefault="004E5A08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Деятельность учреждений культуры является одной из важнейших составляющих современной  культурной жизни. Музей выполняет образовательную, воспитательную, досуговую функции в обществе, способствует формированию его нравственно-эстетических основ, духовных потребностей и ценностных ориентаций. Собранные и сохраняемые в музее фонды, коллекции представляют собой часть культурного наследия и информационного ресурса района. Спектр и качество услуг, предоставляемых сегодня музеем должны точно соответствовать современным условиям, не просто отвечать запросам и ожиданиям общества, но и формировать позитивные ценностные установки, воспитывать патриотические и эстетические чувства граждан.</w:t>
      </w:r>
    </w:p>
    <w:p w:rsidR="00C643EC" w:rsidRDefault="004E5A08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Современный музей- это, прежде всего, тщательно скомплектованная, научно и профессионально освоенная музейная коллекция, ориентированная на удовлетворение потребностей современного посетителя, предоставляемая в наиболее понятных и комфортных для него формах музейной коммуникации. Музей осуществляет широкий спектр социальных функций: хранения, документирования, изучения культурных ценностей, а также просветительскую, образовательную, досуговую и воспитательную функции.</w:t>
      </w:r>
    </w:p>
    <w:p w:rsidR="004E5A08" w:rsidRPr="00C643EC" w:rsidRDefault="004E5A08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Вопросы сохранности музейных ценностей находятся на постоянном контроле Минкультуры.</w:t>
      </w:r>
    </w:p>
    <w:p w:rsidR="004E5A08" w:rsidRPr="00C643EC" w:rsidRDefault="004E5A08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Значительным вкладом в организацию этой работы стало внедрение программы «КАМИС», обеспечивающей электронный учет фондовых предметов, что облегчает анализ хранящегося в музее материала, позволяет обобщить и систематизировать информацию, содержащуюся в различных музейных документах. С 2010г. по 201</w:t>
      </w:r>
      <w:r w:rsidR="0031241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643EC">
        <w:rPr>
          <w:rFonts w:ascii="Times New Roman" w:hAnsi="Times New Roman" w:cs="Times New Roman"/>
          <w:sz w:val="24"/>
          <w:szCs w:val="24"/>
        </w:rPr>
        <w:t xml:space="preserve">г. внесено </w:t>
      </w:r>
      <w:r w:rsidRPr="00CB65F4">
        <w:rPr>
          <w:rFonts w:ascii="Times New Roman" w:hAnsi="Times New Roman" w:cs="Times New Roman"/>
          <w:color w:val="FF0000"/>
          <w:sz w:val="24"/>
          <w:szCs w:val="24"/>
        </w:rPr>
        <w:t xml:space="preserve">1500 </w:t>
      </w:r>
      <w:r w:rsidRPr="00C643EC">
        <w:rPr>
          <w:rFonts w:ascii="Times New Roman" w:hAnsi="Times New Roman" w:cs="Times New Roman"/>
          <w:sz w:val="24"/>
          <w:szCs w:val="24"/>
        </w:rPr>
        <w:t xml:space="preserve">музейных предметов в электронный каталог. </w:t>
      </w:r>
    </w:p>
    <w:p w:rsidR="004E5A08" w:rsidRDefault="004E5A08" w:rsidP="00C643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Подпрограмма направлена на решение основных среднесрочных целей и задач в развитии Чесменского историко-краеведческого музея им. А.Н.Беликова.</w:t>
      </w:r>
    </w:p>
    <w:p w:rsidR="00C643EC" w:rsidRDefault="00C643EC" w:rsidP="00C643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EC">
        <w:rPr>
          <w:rFonts w:ascii="Times New Roman" w:hAnsi="Times New Roman" w:cs="Times New Roman"/>
          <w:b/>
          <w:sz w:val="24"/>
          <w:szCs w:val="24"/>
        </w:rPr>
        <w:t>Основные цели и задачи подпрограммы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прав граждан Чесменского района на доступ к культурным ценностям и участие в культурной жизни посредством обеспечения доступности для жителей музейных фондов.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доступа граждан к музейным фондам (коллекциям);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сохранности музейных ценностей, памятников истории и культуры;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музейных фондов в научных, культурных, образовательных и информационных целях;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культурного обмена.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фондом одно из основополагающих направлений работы музея и включает в себя: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изучение, пополнение и публикация музейного фонда;</w:t>
      </w:r>
    </w:p>
    <w:p w:rsidR="00C643E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учета и хранение музейных предметов, организация непрерывного мониторинга состояния учетно-хранительной деятельности.</w:t>
      </w:r>
    </w:p>
    <w:p w:rsidR="004E5A08" w:rsidRDefault="00C643EC" w:rsidP="00C643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EC">
        <w:rPr>
          <w:rFonts w:ascii="Times New Roman" w:hAnsi="Times New Roman" w:cs="Times New Roman"/>
          <w:sz w:val="24"/>
          <w:szCs w:val="24"/>
        </w:rPr>
        <w:t>Доступность музейных ценностей для населения обеспечивается организацией выставочной, просветительной и образовательной деятельности музея. Значительно расширяются возможности музея через внедрение информационных технологий, осуществление процессов модернизации музейной деятельности.</w:t>
      </w:r>
    </w:p>
    <w:p w:rsidR="00C643EC" w:rsidRDefault="00C643EC" w:rsidP="00C643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EC">
        <w:rPr>
          <w:rFonts w:ascii="Times New Roman" w:hAnsi="Times New Roman" w:cs="Times New Roman"/>
          <w:b/>
          <w:sz w:val="24"/>
          <w:szCs w:val="24"/>
        </w:rPr>
        <w:lastRenderedPageBreak/>
        <w:t>Сроки и этапы реализации подпрограммы</w:t>
      </w:r>
    </w:p>
    <w:p w:rsidR="00C643EC" w:rsidRPr="00DE24CC" w:rsidRDefault="00C643EC" w:rsidP="00C643E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рассчитана </w:t>
      </w:r>
      <w:r w:rsidRPr="00DE24CC">
        <w:rPr>
          <w:rFonts w:ascii="Times New Roman" w:hAnsi="Times New Roman" w:cs="Times New Roman"/>
          <w:color w:val="FF0000"/>
          <w:sz w:val="24"/>
          <w:szCs w:val="24"/>
        </w:rPr>
        <w:t>на 201</w:t>
      </w:r>
      <w:r w:rsidR="00CB65F4" w:rsidRPr="00DE24CC">
        <w:rPr>
          <w:rFonts w:ascii="Times New Roman" w:hAnsi="Times New Roman" w:cs="Times New Roman"/>
          <w:color w:val="FF0000"/>
          <w:sz w:val="24"/>
          <w:szCs w:val="24"/>
        </w:rPr>
        <w:t>7 - 2019</w:t>
      </w:r>
      <w:r w:rsidRPr="00DE24CC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  <w:r w:rsidR="00CB65F4" w:rsidRPr="00DE24CC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DE24CC">
        <w:rPr>
          <w:rFonts w:ascii="Times New Roman" w:hAnsi="Times New Roman" w:cs="Times New Roman"/>
          <w:color w:val="FF0000"/>
          <w:sz w:val="24"/>
          <w:szCs w:val="24"/>
        </w:rPr>
        <w:t xml:space="preserve"> и осуществляется в </w:t>
      </w:r>
      <w:r w:rsidR="00CB65F4" w:rsidRPr="00DE24CC">
        <w:rPr>
          <w:rFonts w:ascii="Times New Roman" w:hAnsi="Times New Roman" w:cs="Times New Roman"/>
          <w:color w:val="FF0000"/>
          <w:sz w:val="24"/>
          <w:szCs w:val="24"/>
        </w:rPr>
        <w:t>два</w:t>
      </w:r>
      <w:r w:rsidRPr="00DE24CC">
        <w:rPr>
          <w:rFonts w:ascii="Times New Roman" w:hAnsi="Times New Roman" w:cs="Times New Roman"/>
          <w:color w:val="FF0000"/>
          <w:sz w:val="24"/>
          <w:szCs w:val="24"/>
        </w:rPr>
        <w:t xml:space="preserve"> этап</w:t>
      </w:r>
      <w:r w:rsidR="00CB65F4" w:rsidRPr="00DE24C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DE24CC" w:rsidRPr="00DE24C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DE24CC" w:rsidRPr="00DE24CC" w:rsidRDefault="00DE24CC" w:rsidP="00C643E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24CC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DE24CC">
        <w:rPr>
          <w:rFonts w:ascii="Times New Roman" w:hAnsi="Times New Roman" w:cs="Times New Roman"/>
          <w:color w:val="FF0000"/>
          <w:sz w:val="24"/>
          <w:szCs w:val="24"/>
        </w:rPr>
        <w:t xml:space="preserve"> этап – 2017 год, II этап – 2018-2019 годы</w:t>
      </w:r>
    </w:p>
    <w:p w:rsidR="00C643EC" w:rsidRDefault="00AA61A6" w:rsidP="00AA61A6">
      <w:pPr>
        <w:pStyle w:val="a3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A6">
        <w:rPr>
          <w:rFonts w:ascii="Times New Roman" w:hAnsi="Times New Roman" w:cs="Times New Roman"/>
          <w:b/>
          <w:sz w:val="24"/>
          <w:szCs w:val="24"/>
        </w:rPr>
        <w:t>Система мероприятий подпрограммы</w:t>
      </w:r>
    </w:p>
    <w:p w:rsidR="00B179D8" w:rsidRDefault="00AA61A6" w:rsidP="00AA61A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подпрограммы:</w:t>
      </w:r>
    </w:p>
    <w:tbl>
      <w:tblPr>
        <w:tblStyle w:val="1"/>
        <w:tblW w:w="10491" w:type="dxa"/>
        <w:tblInd w:w="108" w:type="dxa"/>
        <w:tblLayout w:type="fixed"/>
        <w:tblLook w:val="04A0"/>
      </w:tblPr>
      <w:tblGrid>
        <w:gridCol w:w="709"/>
        <w:gridCol w:w="2126"/>
        <w:gridCol w:w="1843"/>
        <w:gridCol w:w="1559"/>
        <w:gridCol w:w="1418"/>
        <w:gridCol w:w="1418"/>
        <w:gridCol w:w="1418"/>
      </w:tblGrid>
      <w:tr w:rsidR="00DE24CC" w:rsidRPr="00B179D8" w:rsidTr="00FD6AC3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79D8">
              <w:rPr>
                <w:rFonts w:ascii="Times New Roman" w:hAnsi="Times New Roman"/>
                <w:sz w:val="24"/>
                <w:szCs w:val="24"/>
              </w:rPr>
              <w:t>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4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Объем  финансирования</w:t>
            </w:r>
          </w:p>
        </w:tc>
      </w:tr>
      <w:tr w:rsidR="00DE24CC" w:rsidRPr="00820EA8" w:rsidTr="009E4479">
        <w:trPr>
          <w:trHeight w:val="43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937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820EA8" w:rsidRDefault="00DE24CC" w:rsidP="0093784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820EA8" w:rsidRDefault="00DE24CC" w:rsidP="0093784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820EA8" w:rsidRDefault="00DE24CC" w:rsidP="0093784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2019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DE24C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spacing w:before="2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1558,6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1185,0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E24CC" w:rsidRP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1185,0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Социальное обеспечение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spacing w:before="2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820EA8" w:rsidRDefault="00820EA8" w:rsidP="00B179D8">
            <w:pPr>
              <w:spacing w:before="2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820EA8" w:rsidRDefault="00820EA8" w:rsidP="00B179D8">
            <w:pPr>
              <w:spacing w:before="2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Организация участия в выездных мероприятиях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spacing w:before="2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E24CC" w:rsidRP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820E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Обеспечение доступа к услугам связи и Интернет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Содержание зданий и помещений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DE24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382,1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157,3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179D8">
              <w:rPr>
                <w:rFonts w:ascii="Times New Roman" w:hAnsi="Times New Roman"/>
                <w:sz w:val="24"/>
                <w:szCs w:val="24"/>
              </w:rPr>
              <w:t>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Организация и проведение музейных, районных  конкурсов, выставок, мастер-классов и др.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E24CC" w:rsidRPr="00820EA8" w:rsidTr="00DE2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B179D8" w:rsidRDefault="00DE24CC" w:rsidP="00B1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МКУ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B179D8" w:rsidRDefault="00DE24CC" w:rsidP="00DE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B179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E24CC" w:rsidRPr="00820EA8" w:rsidTr="00DE24CC"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Pr="00B179D8" w:rsidRDefault="00DE24CC" w:rsidP="00B1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4CC" w:rsidRPr="00B179D8" w:rsidRDefault="00DE24CC" w:rsidP="00B179D8">
            <w:pPr>
              <w:rPr>
                <w:rFonts w:ascii="Times New Roman" w:hAnsi="Times New Roman"/>
                <w:sz w:val="24"/>
                <w:szCs w:val="24"/>
              </w:rPr>
            </w:pPr>
            <w:r w:rsidRPr="00B179D8">
              <w:rPr>
                <w:rFonts w:ascii="Times New Roman" w:hAnsi="Times New Roman"/>
                <w:sz w:val="24"/>
                <w:szCs w:val="24"/>
              </w:rPr>
              <w:t xml:space="preserve">         Всего по Подпрограмме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4CC" w:rsidRPr="00820EA8" w:rsidRDefault="00820EA8" w:rsidP="00476E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EA8">
              <w:rPr>
                <w:rFonts w:ascii="Times New Roman" w:hAnsi="Times New Roman"/>
                <w:color w:val="FF0000"/>
                <w:sz w:val="24"/>
                <w:szCs w:val="24"/>
              </w:rPr>
              <w:t>2049,9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476E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476E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1351,3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4CC" w:rsidRDefault="00DE24CC" w:rsidP="00476E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EA8" w:rsidRPr="00820EA8" w:rsidRDefault="00820EA8" w:rsidP="00476E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1351,3</w:t>
            </w:r>
          </w:p>
        </w:tc>
      </w:tr>
    </w:tbl>
    <w:p w:rsidR="00AA61A6" w:rsidRDefault="001E408C" w:rsidP="001E408C">
      <w:pPr>
        <w:pStyle w:val="a3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08C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1E408C" w:rsidRDefault="001E408C" w:rsidP="001E408C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>- Источником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мероприятий Подпрограммы являются средства районного бюджета</w:t>
      </w:r>
      <w:r w:rsidR="00A3215D">
        <w:rPr>
          <w:rFonts w:ascii="Times New Roman" w:hAnsi="Times New Roman" w:cs="Times New Roman"/>
          <w:sz w:val="24"/>
          <w:szCs w:val="24"/>
        </w:rPr>
        <w:t xml:space="preserve"> – </w:t>
      </w:r>
      <w:r w:rsidR="00820EA8" w:rsidRPr="008D5FA3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="00312415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820EA8" w:rsidRPr="008D5FA3">
        <w:rPr>
          <w:rFonts w:ascii="Times New Roman" w:hAnsi="Times New Roman" w:cs="Times New Roman"/>
          <w:color w:val="FF0000"/>
          <w:sz w:val="24"/>
          <w:szCs w:val="24"/>
        </w:rPr>
        <w:t>,5</w:t>
      </w:r>
      <w:r w:rsidR="00002107">
        <w:rPr>
          <w:rFonts w:ascii="Times New Roman" w:hAnsi="Times New Roman" w:cs="Times New Roman"/>
          <w:sz w:val="24"/>
          <w:szCs w:val="24"/>
        </w:rPr>
        <w:t xml:space="preserve"> </w:t>
      </w:r>
      <w:r w:rsidR="00D33B22">
        <w:rPr>
          <w:rFonts w:ascii="Times New Roman" w:hAnsi="Times New Roman" w:cs="Times New Roman"/>
          <w:sz w:val="24"/>
          <w:szCs w:val="24"/>
        </w:rPr>
        <w:t xml:space="preserve">тыс. рублей, областного бюджета – </w:t>
      </w:r>
      <w:r w:rsidR="00312415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D33B22" w:rsidRPr="00D33B22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D33B2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408C" w:rsidRDefault="001E408C" w:rsidP="001E4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реализацию мероприятий Подпрограммы предполагается привлекать средства от деятельности МКУ Чесменский Историко-краеведческий музей им. А.Н.Беликова (платные услуги), благотворительную помощь на развитие музея;</w:t>
      </w:r>
    </w:p>
    <w:p w:rsidR="001E408C" w:rsidRDefault="001E408C" w:rsidP="001E4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Объемы финансирования Подпрограммы могут корректироваться с учетом доходов районного бюджета на соответствующий финансовый год.</w:t>
      </w:r>
    </w:p>
    <w:p w:rsidR="001E408C" w:rsidRDefault="001E408C" w:rsidP="001E40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08C">
        <w:rPr>
          <w:rFonts w:ascii="Times New Roman" w:hAnsi="Times New Roman" w:cs="Times New Roman"/>
          <w:b/>
          <w:sz w:val="24"/>
          <w:szCs w:val="24"/>
        </w:rPr>
        <w:t>Организация управления и механизм реализации подпрограммы</w:t>
      </w:r>
    </w:p>
    <w:p w:rsidR="001E408C" w:rsidRDefault="001E408C" w:rsidP="001E4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>Управление</w:t>
      </w:r>
      <w:r w:rsidR="005F2C5C">
        <w:rPr>
          <w:rFonts w:ascii="Times New Roman" w:hAnsi="Times New Roman" w:cs="Times New Roman"/>
          <w:sz w:val="24"/>
          <w:szCs w:val="24"/>
        </w:rPr>
        <w:t xml:space="preserve"> </w:t>
      </w:r>
      <w:r w:rsidRPr="001E408C">
        <w:rPr>
          <w:rFonts w:ascii="Times New Roman" w:hAnsi="Times New Roman" w:cs="Times New Roman"/>
          <w:sz w:val="24"/>
          <w:szCs w:val="24"/>
        </w:rPr>
        <w:t>реализацией подпрограммы и контроль за ходом её выполнения осуществляется Управлением культуры администрации Чесменского муниципального района.</w:t>
      </w:r>
    </w:p>
    <w:p w:rsidR="001E408C" w:rsidRDefault="001E408C" w:rsidP="001E4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>Управление культуры:</w:t>
      </w:r>
    </w:p>
    <w:p w:rsidR="001E408C" w:rsidRPr="001E408C" w:rsidRDefault="001E408C" w:rsidP="001E4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408C">
        <w:rPr>
          <w:rFonts w:ascii="Times New Roman" w:hAnsi="Times New Roman" w:cs="Times New Roman"/>
          <w:sz w:val="24"/>
          <w:szCs w:val="24"/>
        </w:rPr>
        <w:t>вляется главным распорядителем средств районного бюджета на реализацию               мероприятий подпрограммы;</w:t>
      </w:r>
    </w:p>
    <w:p w:rsidR="001E408C" w:rsidRPr="001E408C" w:rsidRDefault="001E408C" w:rsidP="001E4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08C">
        <w:rPr>
          <w:rFonts w:ascii="Times New Roman" w:hAnsi="Times New Roman" w:cs="Times New Roman"/>
          <w:sz w:val="24"/>
          <w:szCs w:val="24"/>
        </w:rPr>
        <w:t>пределяет формы и методы управления реализацией программы – осуществляет  планирование реализации мероприятий подпрограммы;</w:t>
      </w:r>
    </w:p>
    <w:p w:rsidR="001E408C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408C">
        <w:rPr>
          <w:rFonts w:ascii="Times New Roman" w:hAnsi="Times New Roman" w:cs="Times New Roman"/>
          <w:sz w:val="24"/>
          <w:szCs w:val="24"/>
        </w:rPr>
        <w:t>роводит мониторинг эффективности реализации мероприятий подпрограммы и расходования бюджетных средств.</w:t>
      </w:r>
    </w:p>
    <w:p w:rsidR="007502DF" w:rsidRDefault="001E408C" w:rsidP="007502DF">
      <w:pPr>
        <w:spacing w:after="0"/>
        <w:ind w:firstLine="567"/>
        <w:jc w:val="both"/>
      </w:pPr>
      <w:r w:rsidRPr="001E408C">
        <w:rPr>
          <w:rFonts w:ascii="Times New Roman" w:hAnsi="Times New Roman" w:cs="Times New Roman"/>
          <w:sz w:val="24"/>
          <w:szCs w:val="24"/>
        </w:rPr>
        <w:t>Руководитель МКУ историко-краеведческий музей</w:t>
      </w:r>
      <w:r>
        <w:t>:</w:t>
      </w:r>
    </w:p>
    <w:p w:rsidR="007502DF" w:rsidRDefault="001E408C" w:rsidP="007502DF">
      <w:pPr>
        <w:spacing w:after="0"/>
        <w:ind w:firstLine="567"/>
        <w:jc w:val="both"/>
      </w:pPr>
      <w:r w:rsidRPr="001E408C">
        <w:rPr>
          <w:rFonts w:ascii="Times New Roman" w:hAnsi="Times New Roman" w:cs="Times New Roman"/>
          <w:sz w:val="24"/>
          <w:szCs w:val="24"/>
        </w:rPr>
        <w:t>- Отвечает за обеспечение хода реализации подпрограммы и достижения её конечных результатов, рациональное, целевое и эффективное использование  финансовых средств;</w:t>
      </w:r>
    </w:p>
    <w:p w:rsidR="007502DF" w:rsidRDefault="001E408C" w:rsidP="007502DF">
      <w:pPr>
        <w:spacing w:after="0"/>
        <w:ind w:firstLine="567"/>
        <w:jc w:val="both"/>
      </w:pPr>
      <w:r w:rsidRPr="001E408C">
        <w:rPr>
          <w:rFonts w:ascii="Times New Roman" w:hAnsi="Times New Roman" w:cs="Times New Roman"/>
          <w:sz w:val="24"/>
          <w:szCs w:val="24"/>
        </w:rPr>
        <w:t>- В установленном порядке представляет отчет о ходе реализации подпрограммы в Управление культуры.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Исполнителем подпрограммы является Чесменский историко-краеведческий музей им. А.Н.Беликова</w:t>
      </w:r>
      <w:r w:rsidR="007502DF">
        <w:rPr>
          <w:rFonts w:ascii="Times New Roman" w:hAnsi="Times New Roman" w:cs="Times New Roman"/>
          <w:sz w:val="24"/>
          <w:szCs w:val="24"/>
        </w:rPr>
        <w:t>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Мероприятия подпрограммы закрепляются за исполнителями, которые несут ответственность за объемы и качество выполнения этих мероприятий.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Оценка достижений эффективности деятельности по реализации подпрограммных мероприятий осуществляется посредством мониторинга на основе индикативных показателей.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включает:</w:t>
      </w:r>
    </w:p>
    <w:p w:rsidR="007502DF" w:rsidRDefault="007502DF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E408C" w:rsidRPr="007502DF">
        <w:rPr>
          <w:rFonts w:ascii="Times New Roman" w:hAnsi="Times New Roman" w:cs="Times New Roman"/>
          <w:sz w:val="24"/>
          <w:szCs w:val="24"/>
        </w:rPr>
        <w:t>ыполнение подпрограммных мероприятий за счет всех источников финансирования;</w:t>
      </w:r>
    </w:p>
    <w:p w:rsidR="007502DF" w:rsidRDefault="007502DF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E408C" w:rsidRPr="007502DF">
        <w:rPr>
          <w:rFonts w:ascii="Times New Roman" w:hAnsi="Times New Roman" w:cs="Times New Roman"/>
          <w:sz w:val="24"/>
          <w:szCs w:val="24"/>
        </w:rPr>
        <w:t>одготовку докладов и отчетов о реализации подпрограммы и обсуждение достигнутых результатов;</w:t>
      </w:r>
    </w:p>
    <w:p w:rsidR="007502DF" w:rsidRDefault="007502DF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E408C" w:rsidRPr="007502DF">
        <w:rPr>
          <w:rFonts w:ascii="Times New Roman" w:hAnsi="Times New Roman" w:cs="Times New Roman"/>
          <w:sz w:val="24"/>
          <w:szCs w:val="24"/>
        </w:rPr>
        <w:t>орректировку подпрограммы;</w:t>
      </w:r>
    </w:p>
    <w:p w:rsidR="001E408C" w:rsidRPr="007502DF" w:rsidRDefault="007502DF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E408C" w:rsidRPr="007502DF">
        <w:rPr>
          <w:rFonts w:ascii="Times New Roman" w:hAnsi="Times New Roman" w:cs="Times New Roman"/>
          <w:sz w:val="24"/>
          <w:szCs w:val="24"/>
        </w:rPr>
        <w:t>точнение объемов финансирования подпрограммы.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Результаты исполнения подпрограммы по итогам года рассматриваются рабочей группой по подготовке Доклада «О результатах и основных направлениях деятельности учреждения культуры Чесменского муниципального района.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Контроль целевого расходования бюджетных средств осуществляет в текущем режиме финансовым управлением Чесменского муниципального района, в том числе: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- </w:t>
      </w:r>
      <w:r w:rsidR="007502DF">
        <w:rPr>
          <w:rFonts w:ascii="Times New Roman" w:hAnsi="Times New Roman" w:cs="Times New Roman"/>
          <w:sz w:val="24"/>
          <w:szCs w:val="24"/>
        </w:rPr>
        <w:t>С</w:t>
      </w:r>
      <w:r w:rsidRPr="007502DF">
        <w:rPr>
          <w:rFonts w:ascii="Times New Roman" w:hAnsi="Times New Roman" w:cs="Times New Roman"/>
          <w:sz w:val="24"/>
          <w:szCs w:val="24"/>
        </w:rPr>
        <w:t>огласование смет расходов;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- </w:t>
      </w:r>
      <w:r w:rsidR="007502DF">
        <w:rPr>
          <w:rFonts w:ascii="Times New Roman" w:hAnsi="Times New Roman" w:cs="Times New Roman"/>
          <w:sz w:val="24"/>
          <w:szCs w:val="24"/>
        </w:rPr>
        <w:t>Ф</w:t>
      </w:r>
      <w:r w:rsidRPr="007502DF">
        <w:rPr>
          <w:rFonts w:ascii="Times New Roman" w:hAnsi="Times New Roman" w:cs="Times New Roman"/>
          <w:sz w:val="24"/>
          <w:szCs w:val="24"/>
        </w:rPr>
        <w:t>инансирование согласованных расходов;</w:t>
      </w:r>
    </w:p>
    <w:p w:rsidR="001E408C" w:rsidRP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-  </w:t>
      </w:r>
      <w:r w:rsidR="007502DF">
        <w:rPr>
          <w:rFonts w:ascii="Times New Roman" w:hAnsi="Times New Roman" w:cs="Times New Roman"/>
          <w:sz w:val="24"/>
          <w:szCs w:val="24"/>
        </w:rPr>
        <w:t>К</w:t>
      </w:r>
      <w:r w:rsidRPr="007502DF">
        <w:rPr>
          <w:rFonts w:ascii="Times New Roman" w:hAnsi="Times New Roman" w:cs="Times New Roman"/>
          <w:sz w:val="24"/>
          <w:szCs w:val="24"/>
        </w:rPr>
        <w:t>онтроль целевого использования финансовых средств.</w:t>
      </w:r>
    </w:p>
    <w:p w:rsidR="007502DF" w:rsidRDefault="001E408C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Контроль качества планирования, организации исполнения мероприятий, анализ результатов осуществляет Управление культуры администрации Чесменского муниципального района.</w:t>
      </w:r>
    </w:p>
    <w:p w:rsidR="001E408C" w:rsidRDefault="001E408C" w:rsidP="0075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К должностным лицам, не обеспечившим в установленные сроки выполнение предусмотренных подпрограммой мероприятий или допустивших нецелевое, нерациональное расходование средств, выделенных на реализацию подпрограммы, применяются в соответствии с действующим законодательством меры дисциплинарного воздействия.</w:t>
      </w:r>
    </w:p>
    <w:p w:rsidR="007502DF" w:rsidRDefault="007502DF" w:rsidP="007502D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D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7502DF" w:rsidRPr="00E62B85" w:rsidRDefault="007502DF" w:rsidP="007502D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способствует</w:t>
      </w:r>
      <w:r w:rsidR="005F2C5C">
        <w:rPr>
          <w:rFonts w:ascii="Times New Roman" w:hAnsi="Times New Roman" w:cs="Times New Roman"/>
          <w:sz w:val="24"/>
          <w:szCs w:val="24"/>
        </w:rPr>
        <w:t xml:space="preserve"> </w:t>
      </w:r>
      <w:r w:rsidRPr="007502DF">
        <w:rPr>
          <w:rFonts w:ascii="Times New Roman" w:hAnsi="Times New Roman" w:cs="Times New Roman"/>
          <w:sz w:val="24"/>
          <w:szCs w:val="24"/>
        </w:rPr>
        <w:t>расширению спектра информационно-образовательных, культурно-просветительских услуг, предоставляемых населению, повышению их качества, комфортности предоставления, уровня соответствия запросам населения; внедрению современных форм публичного предоставления музейных ценностей и музейных коммуникаций.</w:t>
      </w:r>
    </w:p>
    <w:p w:rsidR="007502DF" w:rsidRDefault="007502DF" w:rsidP="007502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Значения индикативных показателей:             </w:t>
      </w:r>
    </w:p>
    <w:tbl>
      <w:tblPr>
        <w:tblStyle w:val="a4"/>
        <w:tblW w:w="10422" w:type="dxa"/>
        <w:tblLook w:val="04A0"/>
      </w:tblPr>
      <w:tblGrid>
        <w:gridCol w:w="2269"/>
        <w:gridCol w:w="1441"/>
        <w:gridCol w:w="1373"/>
        <w:gridCol w:w="1331"/>
        <w:gridCol w:w="1346"/>
        <w:gridCol w:w="1331"/>
        <w:gridCol w:w="1331"/>
      </w:tblGrid>
      <w:tr w:rsidR="00577A12" w:rsidTr="00577A12">
        <w:tc>
          <w:tcPr>
            <w:tcW w:w="2519" w:type="dxa"/>
          </w:tcPr>
          <w:p w:rsidR="00577A12" w:rsidRPr="007502DF" w:rsidRDefault="00577A12" w:rsidP="006717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1516" w:type="dxa"/>
          </w:tcPr>
          <w:p w:rsidR="00577A12" w:rsidRPr="007502DF" w:rsidRDefault="00577A12" w:rsidP="009E4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77A12" w:rsidRPr="007502DF" w:rsidRDefault="00577A12" w:rsidP="0067179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577A12" w:rsidRPr="007502DF" w:rsidRDefault="00577A12" w:rsidP="0067179F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02" w:type="dxa"/>
          </w:tcPr>
          <w:p w:rsidR="00577A12" w:rsidRPr="007502DF" w:rsidRDefault="00577A12" w:rsidP="006717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577A12" w:rsidRPr="007502DF" w:rsidRDefault="00577A12" w:rsidP="0067179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  <w:p w:rsidR="00577A12" w:rsidRPr="007502DF" w:rsidRDefault="00577A12" w:rsidP="0067179F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331" w:type="dxa"/>
          </w:tcPr>
          <w:p w:rsidR="00577A12" w:rsidRPr="007502DF" w:rsidRDefault="00577A12" w:rsidP="006717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</w:t>
            </w:r>
            <w:r w:rsidRPr="007502DF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56" w:type="dxa"/>
          </w:tcPr>
          <w:p w:rsidR="00577A12" w:rsidRPr="008D5FA3" w:rsidRDefault="00577A12" w:rsidP="0067179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Значение показателя </w:t>
            </w:r>
          </w:p>
          <w:p w:rsidR="00577A12" w:rsidRPr="008D5FA3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 2017год (план.)</w:t>
            </w:r>
          </w:p>
        </w:tc>
        <w:tc>
          <w:tcPr>
            <w:tcW w:w="1149" w:type="dxa"/>
          </w:tcPr>
          <w:p w:rsidR="00577A12" w:rsidRPr="008D5FA3" w:rsidRDefault="00577A12" w:rsidP="00577A1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Значение показателя </w:t>
            </w:r>
          </w:p>
          <w:p w:rsidR="00577A12" w:rsidRPr="008D5FA3" w:rsidRDefault="00577A12" w:rsidP="00577A1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 2018год (план.)</w:t>
            </w:r>
          </w:p>
        </w:tc>
        <w:tc>
          <w:tcPr>
            <w:tcW w:w="1149" w:type="dxa"/>
          </w:tcPr>
          <w:p w:rsidR="00577A12" w:rsidRPr="008D5FA3" w:rsidRDefault="00577A12" w:rsidP="00577A1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Значение показателя </w:t>
            </w:r>
          </w:p>
          <w:p w:rsidR="00577A12" w:rsidRPr="008D5FA3" w:rsidRDefault="00577A12" w:rsidP="00577A1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 2019год (план.)</w:t>
            </w:r>
          </w:p>
        </w:tc>
      </w:tr>
      <w:tr w:rsidR="00577A12" w:rsidTr="00577A12">
        <w:tc>
          <w:tcPr>
            <w:tcW w:w="2519" w:type="dxa"/>
          </w:tcPr>
          <w:p w:rsidR="00577A12" w:rsidRPr="007502DF" w:rsidRDefault="00577A12" w:rsidP="0067179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Количество выставленных экспонатов от общего фонда хранения (ед.)</w:t>
            </w:r>
          </w:p>
        </w:tc>
        <w:tc>
          <w:tcPr>
            <w:tcW w:w="1516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402" w:type="dxa"/>
          </w:tcPr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31" w:type="dxa"/>
          </w:tcPr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56" w:type="dxa"/>
          </w:tcPr>
          <w:p w:rsidR="00577A12" w:rsidRPr="008D5FA3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1720</w:t>
            </w:r>
          </w:p>
        </w:tc>
        <w:tc>
          <w:tcPr>
            <w:tcW w:w="1149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1750</w:t>
            </w:r>
          </w:p>
        </w:tc>
        <w:tc>
          <w:tcPr>
            <w:tcW w:w="1149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1770</w:t>
            </w:r>
          </w:p>
        </w:tc>
      </w:tr>
      <w:tr w:rsidR="00577A12" w:rsidTr="00577A12">
        <w:tc>
          <w:tcPr>
            <w:tcW w:w="2519" w:type="dxa"/>
          </w:tcPr>
          <w:p w:rsidR="00577A12" w:rsidRPr="007502DF" w:rsidRDefault="00577A12" w:rsidP="0067179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музея (тыс.чел.)</w:t>
            </w:r>
          </w:p>
        </w:tc>
        <w:tc>
          <w:tcPr>
            <w:tcW w:w="1516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402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331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356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5,35</w:t>
            </w:r>
          </w:p>
        </w:tc>
        <w:tc>
          <w:tcPr>
            <w:tcW w:w="1149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5,35</w:t>
            </w:r>
          </w:p>
        </w:tc>
        <w:tc>
          <w:tcPr>
            <w:tcW w:w="1149" w:type="dxa"/>
          </w:tcPr>
          <w:p w:rsidR="00577A12" w:rsidRPr="008D5FA3" w:rsidRDefault="008D5FA3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</w:t>
            </w:r>
            <w:r w:rsidR="00577A12"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577A12" w:rsidTr="00577A12">
        <w:tc>
          <w:tcPr>
            <w:tcW w:w="2519" w:type="dxa"/>
          </w:tcPr>
          <w:p w:rsidR="00577A12" w:rsidRPr="007502DF" w:rsidRDefault="00577A12" w:rsidP="0067179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Экскурсии (ед.)</w:t>
            </w:r>
          </w:p>
        </w:tc>
        <w:tc>
          <w:tcPr>
            <w:tcW w:w="1516" w:type="dxa"/>
          </w:tcPr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577A12" w:rsidRPr="008D5FA3" w:rsidRDefault="00577A12" w:rsidP="008D5FA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D5FA3"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577A12" w:rsidRPr="008D5FA3" w:rsidRDefault="008D5FA3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149" w:type="dxa"/>
          </w:tcPr>
          <w:p w:rsidR="00577A12" w:rsidRPr="008D5FA3" w:rsidRDefault="008D5FA3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</w:tr>
      <w:tr w:rsidR="00577A12" w:rsidTr="00577A12">
        <w:tc>
          <w:tcPr>
            <w:tcW w:w="2519" w:type="dxa"/>
          </w:tcPr>
          <w:p w:rsidR="00577A12" w:rsidRPr="007502DF" w:rsidRDefault="00577A12" w:rsidP="0067179F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A6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деятельность</w:t>
            </w:r>
          </w:p>
        </w:tc>
        <w:tc>
          <w:tcPr>
            <w:tcW w:w="1516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12" w:rsidRPr="007502DF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2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A12" w:rsidRPr="007502DF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A12" w:rsidRPr="008D5FA3" w:rsidRDefault="00577A12" w:rsidP="00577A1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149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5FA3" w:rsidRPr="008D5FA3" w:rsidRDefault="008D5FA3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149" w:type="dxa"/>
          </w:tcPr>
          <w:p w:rsidR="00577A12" w:rsidRPr="008D5FA3" w:rsidRDefault="00577A12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5FA3" w:rsidRPr="008D5FA3" w:rsidRDefault="008D5FA3" w:rsidP="009E41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</w:tbl>
    <w:p w:rsidR="007502DF" w:rsidRPr="007502DF" w:rsidRDefault="007502DF" w:rsidP="007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2DF" w:rsidRPr="007502DF" w:rsidRDefault="007502DF" w:rsidP="007502D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DF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 подпрограммы</w:t>
      </w:r>
    </w:p>
    <w:tbl>
      <w:tblPr>
        <w:tblStyle w:val="a4"/>
        <w:tblW w:w="10456" w:type="dxa"/>
        <w:tblLook w:val="04A0"/>
      </w:tblPr>
      <w:tblGrid>
        <w:gridCol w:w="4361"/>
        <w:gridCol w:w="1984"/>
        <w:gridCol w:w="1418"/>
        <w:gridCol w:w="1276"/>
        <w:gridCol w:w="1417"/>
      </w:tblGrid>
      <w:tr w:rsidR="008D5FA3" w:rsidTr="008D5FA3">
        <w:tc>
          <w:tcPr>
            <w:tcW w:w="10456" w:type="dxa"/>
            <w:gridSpan w:val="5"/>
          </w:tcPr>
          <w:p w:rsidR="008D5FA3" w:rsidRPr="007502DF" w:rsidRDefault="008D5FA3" w:rsidP="007502DF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502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  <w:r w:rsidRPr="007502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Создание условий по обеспечению прав на доступ и пользование объектами культурного наследия</w:t>
            </w:r>
          </w:p>
        </w:tc>
      </w:tr>
      <w:tr w:rsidR="008D5FA3" w:rsidRPr="00207346" w:rsidTr="008D5FA3">
        <w:tc>
          <w:tcPr>
            <w:tcW w:w="10456" w:type="dxa"/>
            <w:gridSpan w:val="5"/>
          </w:tcPr>
          <w:p w:rsidR="008D5FA3" w:rsidRPr="00207346" w:rsidRDefault="008D5FA3" w:rsidP="007502DF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</w:pPr>
            <w:r w:rsidRPr="00207346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Задача: </w:t>
            </w:r>
            <w:r w:rsidRPr="00207346">
              <w:rPr>
                <w:rFonts w:ascii="Times New Roman" w:hAnsi="Times New Roman" w:cs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 xml:space="preserve"> Сохранение историко-культурной среды района</w:t>
            </w:r>
          </w:p>
        </w:tc>
      </w:tr>
      <w:tr w:rsidR="008D5FA3" w:rsidRPr="00207346" w:rsidTr="008D5FA3">
        <w:tc>
          <w:tcPr>
            <w:tcW w:w="4361" w:type="dxa"/>
            <w:vMerge w:val="restart"/>
          </w:tcPr>
          <w:p w:rsidR="008D5FA3" w:rsidRPr="00207346" w:rsidRDefault="008D5FA3" w:rsidP="009E4123">
            <w:pPr>
              <w:shd w:val="clear" w:color="auto" w:fill="FFFFFF"/>
              <w:spacing w:line="254" w:lineRule="exact"/>
              <w:ind w:right="43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4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1. Сохранение, популяризация и </w:t>
            </w:r>
            <w:r w:rsidRPr="0020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объектов культурного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</w:p>
        </w:tc>
        <w:tc>
          <w:tcPr>
            <w:tcW w:w="1984" w:type="dxa"/>
          </w:tcPr>
          <w:p w:rsidR="008D5FA3" w:rsidRPr="00207346" w:rsidRDefault="008D5FA3" w:rsidP="009E4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</w:tc>
      </w:tr>
      <w:tr w:rsidR="008D5FA3" w:rsidRPr="00207346" w:rsidTr="008D5FA3">
        <w:tc>
          <w:tcPr>
            <w:tcW w:w="4361" w:type="dxa"/>
            <w:vMerge/>
          </w:tcPr>
          <w:p w:rsidR="008D5FA3" w:rsidRPr="00207346" w:rsidRDefault="008D5FA3" w:rsidP="0067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FA3" w:rsidRDefault="008D5FA3" w:rsidP="008D5FA3">
            <w:pPr>
              <w:jc w:val="center"/>
            </w:pPr>
            <w:r w:rsidRPr="00E5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Музей</w:t>
            </w:r>
          </w:p>
        </w:tc>
        <w:tc>
          <w:tcPr>
            <w:tcW w:w="1418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2019,9</w:t>
            </w:r>
          </w:p>
        </w:tc>
        <w:tc>
          <w:tcPr>
            <w:tcW w:w="1276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1351,3</w:t>
            </w:r>
          </w:p>
        </w:tc>
        <w:tc>
          <w:tcPr>
            <w:tcW w:w="1417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1351,3</w:t>
            </w:r>
          </w:p>
        </w:tc>
      </w:tr>
      <w:tr w:rsidR="008D5FA3" w:rsidRPr="00207346" w:rsidTr="008D5FA3">
        <w:tc>
          <w:tcPr>
            <w:tcW w:w="4361" w:type="dxa"/>
          </w:tcPr>
          <w:p w:rsidR="008D5FA3" w:rsidRPr="00207346" w:rsidRDefault="008D5FA3" w:rsidP="0067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противопожарных мероприятий</w:t>
            </w:r>
          </w:p>
        </w:tc>
        <w:tc>
          <w:tcPr>
            <w:tcW w:w="1984" w:type="dxa"/>
          </w:tcPr>
          <w:p w:rsidR="008D5FA3" w:rsidRDefault="008D5FA3" w:rsidP="008D5FA3">
            <w:pPr>
              <w:jc w:val="center"/>
            </w:pPr>
            <w:r w:rsidRPr="00E5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Музей</w:t>
            </w:r>
          </w:p>
        </w:tc>
        <w:tc>
          <w:tcPr>
            <w:tcW w:w="1418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D5FA3" w:rsidRPr="008D5FA3" w:rsidRDefault="008D5FA3" w:rsidP="00F57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D5FA3" w:rsidRPr="00207346" w:rsidTr="008D5FA3">
        <w:tc>
          <w:tcPr>
            <w:tcW w:w="4361" w:type="dxa"/>
          </w:tcPr>
          <w:p w:rsidR="008D5FA3" w:rsidRPr="00207346" w:rsidRDefault="008D5FA3" w:rsidP="0067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46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Всего по цели:</w:t>
            </w:r>
          </w:p>
        </w:tc>
        <w:tc>
          <w:tcPr>
            <w:tcW w:w="1984" w:type="dxa"/>
          </w:tcPr>
          <w:p w:rsidR="008D5FA3" w:rsidRPr="00207346" w:rsidRDefault="008D5FA3" w:rsidP="001E4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2049,9</w:t>
            </w:r>
          </w:p>
        </w:tc>
        <w:tc>
          <w:tcPr>
            <w:tcW w:w="1276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1351,3</w:t>
            </w:r>
          </w:p>
        </w:tc>
        <w:tc>
          <w:tcPr>
            <w:tcW w:w="1417" w:type="dxa"/>
          </w:tcPr>
          <w:p w:rsidR="008D5FA3" w:rsidRPr="008D5FA3" w:rsidRDefault="008D5FA3" w:rsidP="00476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5F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1351,3</w:t>
            </w:r>
          </w:p>
        </w:tc>
      </w:tr>
    </w:tbl>
    <w:p w:rsidR="001E408C" w:rsidRDefault="00B21BC6" w:rsidP="00B21BC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C6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реализации подпрограммы</w:t>
      </w:r>
    </w:p>
    <w:p w:rsidR="00B21BC6" w:rsidRPr="00207346" w:rsidRDefault="00B21BC6" w:rsidP="00B21BC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По каждой Муниципальной программе (подпрограмме) ежегодно проводится оценка эффективности ее реализации. После завершения очередного финансового года Ответственный исполнитель Муниципальной программы представляет в Управление экономики, недвижимости и предпринимательства отчет о реализации Муниципальной программы, производит оценку эффективности реализации Муниципальной программы, согласно утвержденной Методике. Методика оценки эффективности муниципальной программы (подпрограммы)  должна включать следующие разделы:</w:t>
      </w:r>
    </w:p>
    <w:p w:rsidR="00B21BC6" w:rsidRPr="00207346" w:rsidRDefault="005236C0" w:rsidP="005236C0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1BC6" w:rsidRPr="00207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взаимосвязи мероприятий и результатов их выполнения с</w:t>
      </w:r>
    </w:p>
    <w:p w:rsidR="005236C0" w:rsidRPr="00207346" w:rsidRDefault="00B21BC6" w:rsidP="005236C0">
      <w:pPr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муниципальной программы (подпрограммы);</w:t>
      </w:r>
    </w:p>
    <w:p w:rsidR="00B21BC6" w:rsidRPr="00207346" w:rsidRDefault="005236C0" w:rsidP="005236C0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1BC6" w:rsidRPr="00207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состава и значений соответствующих целевых</w:t>
      </w:r>
    </w:p>
    <w:p w:rsidR="00B21BC6" w:rsidRPr="00207346" w:rsidRDefault="00B21BC6" w:rsidP="00B21BC6">
      <w:p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 и показателей муниципальной программы (подпрограммы) и оценку влияния внешних факторов и условий на их достижение;</w:t>
      </w:r>
    </w:p>
    <w:p w:rsidR="00B21BC6" w:rsidRPr="00207346" w:rsidRDefault="005236C0" w:rsidP="005236C0">
      <w:pPr>
        <w:spacing w:line="23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1BC6"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реализации Программы (</w:t>
      </w:r>
      <w:r w:rsidR="00B21BC6"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B21BC6"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="00B21BC6"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B21BC6"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,определяется по формуле:</w:t>
      </w:r>
    </w:p>
    <w:p w:rsidR="00B21BC6" w:rsidRPr="00207346" w:rsidRDefault="00010215" w:rsidP="00B21BC6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О</m:t>
            </m:r>
          </m:e>
          <m:sub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эф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hAnsi="Times New Roman" w:cs="Times New Roman"/>
                    <w:color w:val="000000" w:themeColor="text1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hAnsi="Times New Roman" w:cs="Times New Roman"/>
                    <w:color w:val="000000" w:themeColor="text1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hAnsi="Times New Roman" w:cs="Times New Roman"/>
                    <w:color w:val="000000" w:themeColor="text1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hAnsi="Times New Roman" w:cs="Times New Roman"/>
                    <w:color w:val="000000" w:themeColor="text1"/>
                    <w:sz w:val="24"/>
                    <w:szCs w:val="24"/>
                  </w:rPr>
                  <m:t>бс</m:t>
                </m:r>
              </m:sub>
            </m:sSub>
          </m:den>
        </m:f>
      </m:oMath>
      <w:r w:rsidR="00B21BC6"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пл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достижения плановых индикативных показателей;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полноты использования бюджетных средств.</w:t>
      </w:r>
    </w:p>
    <w:p w:rsidR="00B21BC6" w:rsidRPr="00207346" w:rsidRDefault="00B21BC6" w:rsidP="00B21BC6">
      <w:pPr>
        <w:spacing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а. Оценка достижения плановых индикативных показателей (Д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пл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) рассчитывается по формуле:</w:t>
      </w:r>
    </w:p>
    <w:p w:rsidR="00B21BC6" w:rsidRPr="00207346" w:rsidRDefault="00010215" w:rsidP="00B21BC6">
      <w:pPr>
        <w:tabs>
          <w:tab w:val="left" w:pos="6379"/>
        </w:tabs>
        <w:spacing w:line="23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Д</m:t>
            </m:r>
          </m:e>
          <m:sub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пл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ип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ип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,</m:t>
        </m:r>
      </m:oMath>
      <w:r w:rsidR="00B21BC6"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фактические индикативные показатели;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количество фактических индикативных показателей;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плановые индикативные показатели;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плановых индикативных показателей.</w:t>
      </w:r>
    </w:p>
    <w:p w:rsidR="00B21BC6" w:rsidRPr="00207346" w:rsidRDefault="00B21BC6" w:rsidP="00B21BC6">
      <w:pPr>
        <w:spacing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б. Оценка полноты использования бюджетных средств (П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) рассчитывается по формуле:</w:t>
      </w:r>
    </w:p>
    <w:p w:rsidR="00B21BC6" w:rsidRPr="00207346" w:rsidRDefault="00010215" w:rsidP="00B21BC6">
      <w:pPr>
        <w:spacing w:line="23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П</m:t>
            </m:r>
          </m:e>
          <m:sub>
            <m:r>
              <w:rPr>
                <w:rFonts w:hAnsi="Times New Roman" w:cs="Times New Roman"/>
                <w:color w:val="000000" w:themeColor="text1"/>
                <w:sz w:val="24"/>
                <w:szCs w:val="24"/>
              </w:rPr>
              <m:t>бс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ибс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hAnsi="Times New Roman" w:cs="Times New Roman"/>
                        <w:color w:val="000000" w:themeColor="text1"/>
                        <w:sz w:val="24"/>
                        <w:szCs w:val="24"/>
                      </w:rPr>
                      <m:t>ибс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,</m:t>
        </m:r>
      </m:oMath>
      <w:r w:rsidR="00B21BC6"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ибс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фактическое использование бюджетных средств по отдельным мероприятиям Программы;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количество мероприятий Программы;</w:t>
      </w:r>
    </w:p>
    <w:p w:rsidR="00B21BC6" w:rsidRPr="00207346" w:rsidRDefault="00B21BC6" w:rsidP="00B21BC6">
      <w:pPr>
        <w:spacing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ибс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плановое использование бюджетных средств.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в. Оценка эффективности реализации Программы (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будет тем выше, чем выше уровень достижения индикативных показателей и меньше уровень использования бюджетных средств, при этом: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&gt; 1,4 – характеризует очень высокую эффективность реализации Программы (значительно превышает целевые значения индикаторов);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1 &lt;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&lt; 1,4 – высокая эффективность реализации Программы (превышение целевых значений индикаторов);</w:t>
      </w:r>
    </w:p>
    <w:p w:rsidR="00B21BC6" w:rsidRPr="00207346" w:rsidRDefault="00B21BC6" w:rsidP="00B21BC6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0,5 &lt;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&lt; 1 – низкая эффективность реализации Программы (не достигнуты целевые значения индикаторов);</w:t>
      </w:r>
    </w:p>
    <w:p w:rsidR="00B21BC6" w:rsidRPr="00207346" w:rsidRDefault="00B21BC6" w:rsidP="00B21BC6">
      <w:pPr>
        <w:spacing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20734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эф</w:t>
      </w:r>
      <w:r w:rsidRPr="00207346">
        <w:rPr>
          <w:rFonts w:ascii="Times New Roman" w:hAnsi="Times New Roman" w:cs="Times New Roman"/>
          <w:color w:val="000000" w:themeColor="text1"/>
          <w:sz w:val="24"/>
          <w:szCs w:val="24"/>
        </w:rPr>
        <w:t>&lt; 0,5 – крайне низкая эффективность реализации Программы (не достигнуты целевые значения индикаторов более чем в два раза).</w:t>
      </w:r>
    </w:p>
    <w:p w:rsidR="00B21BC6" w:rsidRPr="00207346" w:rsidRDefault="00B21BC6" w:rsidP="00B21BC6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1BC6" w:rsidRPr="00207346" w:rsidSect="009E4123">
      <w:type w:val="continuous"/>
      <w:pgSz w:w="11906" w:h="16838"/>
      <w:pgMar w:top="1134" w:right="566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B5" w:rsidRDefault="00F36BB5" w:rsidP="006413EF">
      <w:pPr>
        <w:spacing w:after="0" w:line="240" w:lineRule="auto"/>
      </w:pPr>
      <w:r>
        <w:separator/>
      </w:r>
    </w:p>
  </w:endnote>
  <w:endnote w:type="continuationSeparator" w:id="1">
    <w:p w:rsidR="00F36BB5" w:rsidRDefault="00F36BB5" w:rsidP="006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B5" w:rsidRDefault="00F36BB5" w:rsidP="006413EF">
      <w:pPr>
        <w:spacing w:after="0" w:line="240" w:lineRule="auto"/>
      </w:pPr>
      <w:r>
        <w:separator/>
      </w:r>
    </w:p>
  </w:footnote>
  <w:footnote w:type="continuationSeparator" w:id="1">
    <w:p w:rsidR="00F36BB5" w:rsidRDefault="00F36BB5" w:rsidP="0064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5DE7"/>
    <w:multiLevelType w:val="hybridMultilevel"/>
    <w:tmpl w:val="D32A93AC"/>
    <w:lvl w:ilvl="0" w:tplc="DE4A5F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27348"/>
    <w:multiLevelType w:val="hybridMultilevel"/>
    <w:tmpl w:val="A1666996"/>
    <w:lvl w:ilvl="0" w:tplc="937C7D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118"/>
    <w:rsid w:val="00002107"/>
    <w:rsid w:val="00010215"/>
    <w:rsid w:val="0005693A"/>
    <w:rsid w:val="00084204"/>
    <w:rsid w:val="001D19F3"/>
    <w:rsid w:val="001E408C"/>
    <w:rsid w:val="001F2AB1"/>
    <w:rsid w:val="00207346"/>
    <w:rsid w:val="002D60E3"/>
    <w:rsid w:val="003063B6"/>
    <w:rsid w:val="00312415"/>
    <w:rsid w:val="00370A13"/>
    <w:rsid w:val="004727BA"/>
    <w:rsid w:val="00476EC9"/>
    <w:rsid w:val="004B3BC5"/>
    <w:rsid w:val="004E5A08"/>
    <w:rsid w:val="005236C0"/>
    <w:rsid w:val="00577A12"/>
    <w:rsid w:val="005B700A"/>
    <w:rsid w:val="005F2C5C"/>
    <w:rsid w:val="006413EF"/>
    <w:rsid w:val="00666843"/>
    <w:rsid w:val="0067179F"/>
    <w:rsid w:val="006B7959"/>
    <w:rsid w:val="007502DF"/>
    <w:rsid w:val="00820EA8"/>
    <w:rsid w:val="00887B60"/>
    <w:rsid w:val="008A4B22"/>
    <w:rsid w:val="008B3921"/>
    <w:rsid w:val="008C6D72"/>
    <w:rsid w:val="008D5FA3"/>
    <w:rsid w:val="00937849"/>
    <w:rsid w:val="0095311D"/>
    <w:rsid w:val="009A0279"/>
    <w:rsid w:val="009E4123"/>
    <w:rsid w:val="00A3215D"/>
    <w:rsid w:val="00A71A2B"/>
    <w:rsid w:val="00AA61A6"/>
    <w:rsid w:val="00AB2A78"/>
    <w:rsid w:val="00AC1A74"/>
    <w:rsid w:val="00AD029D"/>
    <w:rsid w:val="00AE2B81"/>
    <w:rsid w:val="00B01AB4"/>
    <w:rsid w:val="00B179D8"/>
    <w:rsid w:val="00B21BC6"/>
    <w:rsid w:val="00BD706C"/>
    <w:rsid w:val="00BF4FEF"/>
    <w:rsid w:val="00C3097B"/>
    <w:rsid w:val="00C4669C"/>
    <w:rsid w:val="00C6219B"/>
    <w:rsid w:val="00C639C0"/>
    <w:rsid w:val="00C643EC"/>
    <w:rsid w:val="00CB65F4"/>
    <w:rsid w:val="00CD3082"/>
    <w:rsid w:val="00D33B22"/>
    <w:rsid w:val="00D41118"/>
    <w:rsid w:val="00D66669"/>
    <w:rsid w:val="00DB5F26"/>
    <w:rsid w:val="00DE24CC"/>
    <w:rsid w:val="00DE6490"/>
    <w:rsid w:val="00E14EC1"/>
    <w:rsid w:val="00E831FC"/>
    <w:rsid w:val="00E9108D"/>
    <w:rsid w:val="00F36BB5"/>
    <w:rsid w:val="00F57B91"/>
    <w:rsid w:val="00F61E1A"/>
    <w:rsid w:val="00F71217"/>
    <w:rsid w:val="00F73031"/>
    <w:rsid w:val="00FB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08"/>
    <w:pPr>
      <w:ind w:left="720"/>
      <w:contextualSpacing/>
    </w:pPr>
  </w:style>
  <w:style w:type="table" w:styleId="a4">
    <w:name w:val="Table Grid"/>
    <w:basedOn w:val="a1"/>
    <w:uiPriority w:val="59"/>
    <w:rsid w:val="00AA6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B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3EF"/>
  </w:style>
  <w:style w:type="paragraph" w:styleId="a9">
    <w:name w:val="footer"/>
    <w:basedOn w:val="a"/>
    <w:link w:val="aa"/>
    <w:uiPriority w:val="99"/>
    <w:unhideWhenUsed/>
    <w:rsid w:val="006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EF"/>
  </w:style>
  <w:style w:type="table" w:customStyle="1" w:styleId="1">
    <w:name w:val="Сетка таблицы1"/>
    <w:basedOn w:val="a1"/>
    <w:next w:val="a4"/>
    <w:uiPriority w:val="59"/>
    <w:rsid w:val="00B179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Обращение граждан</cp:lastModifiedBy>
  <cp:revision>2</cp:revision>
  <cp:lastPrinted>2016-03-24T05:32:00Z</cp:lastPrinted>
  <dcterms:created xsi:type="dcterms:W3CDTF">2017-01-08T08:47:00Z</dcterms:created>
  <dcterms:modified xsi:type="dcterms:W3CDTF">2017-01-08T08:47:00Z</dcterms:modified>
</cp:coreProperties>
</file>